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0" w:type="dxa"/>
        <w:tblInd w:w="-459" w:type="dxa"/>
        <w:tblLayout w:type="fixed"/>
        <w:tblLook w:val="0480" w:firstRow="0" w:lastRow="0" w:firstColumn="1" w:lastColumn="0" w:noHBand="0" w:noVBand="1"/>
      </w:tblPr>
      <w:tblGrid>
        <w:gridCol w:w="1277"/>
        <w:gridCol w:w="1276"/>
        <w:gridCol w:w="2268"/>
        <w:gridCol w:w="1983"/>
        <w:gridCol w:w="1844"/>
        <w:gridCol w:w="4252"/>
        <w:gridCol w:w="1559"/>
        <w:gridCol w:w="1701"/>
      </w:tblGrid>
      <w:tr w:rsidR="00690E0A" w:rsidRPr="00D75D89" w:rsidTr="000D156B">
        <w:trPr>
          <w:trHeight w:val="1215"/>
        </w:trPr>
        <w:tc>
          <w:tcPr>
            <w:tcW w:w="1277" w:type="dxa"/>
          </w:tcPr>
          <w:p w:rsidR="00690E0A" w:rsidRPr="00D75D89" w:rsidRDefault="00690E0A" w:rsidP="00384457">
            <w:pPr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76" w:type="dxa"/>
          </w:tcPr>
          <w:p w:rsidR="00690E0A" w:rsidRPr="00D75D89" w:rsidRDefault="00690E0A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Номер реєстрації, дата внесення</w:t>
            </w:r>
          </w:p>
        </w:tc>
        <w:tc>
          <w:tcPr>
            <w:tcW w:w="2268" w:type="dxa"/>
          </w:tcPr>
          <w:p w:rsidR="003A10E9" w:rsidRPr="00D75D89" w:rsidRDefault="00690E0A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Назва</w:t>
            </w:r>
          </w:p>
          <w:p w:rsidR="003A10E9" w:rsidRPr="00D75D89" w:rsidRDefault="003A10E9" w:rsidP="003A10E9">
            <w:pPr>
              <w:rPr>
                <w:rFonts w:ascii="Times New Roman" w:hAnsi="Times New Roman" w:cs="Times New Roman"/>
              </w:rPr>
            </w:pPr>
          </w:p>
          <w:p w:rsidR="00690E0A" w:rsidRPr="00D75D89" w:rsidRDefault="00690E0A" w:rsidP="003A1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690E0A" w:rsidRPr="00D75D89" w:rsidRDefault="00690E0A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Ким внесено</w:t>
            </w:r>
          </w:p>
        </w:tc>
        <w:tc>
          <w:tcPr>
            <w:tcW w:w="1844" w:type="dxa"/>
          </w:tcPr>
          <w:p w:rsidR="00690E0A" w:rsidRPr="00D75D89" w:rsidRDefault="00690E0A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Значимість</w:t>
            </w:r>
          </w:p>
        </w:tc>
        <w:tc>
          <w:tcPr>
            <w:tcW w:w="4252" w:type="dxa"/>
          </w:tcPr>
          <w:p w:rsidR="00690E0A" w:rsidRPr="00D75D89" w:rsidRDefault="00690E0A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Бліц-аналіз проекту акта</w:t>
            </w:r>
          </w:p>
        </w:tc>
        <w:tc>
          <w:tcPr>
            <w:tcW w:w="1559" w:type="dxa"/>
          </w:tcPr>
          <w:p w:rsidR="00690E0A" w:rsidRPr="00D75D89" w:rsidRDefault="00690E0A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Поточний статус</w:t>
            </w:r>
          </w:p>
        </w:tc>
        <w:tc>
          <w:tcPr>
            <w:tcW w:w="1701" w:type="dxa"/>
          </w:tcPr>
          <w:p w:rsidR="00690E0A" w:rsidRPr="00D75D89" w:rsidRDefault="00690E0A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Коментар</w:t>
            </w:r>
          </w:p>
          <w:p w:rsidR="00690E0A" w:rsidRPr="00D75D89" w:rsidRDefault="00690E0A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0E0A" w:rsidRPr="00D75D89" w:rsidRDefault="00690E0A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1EA" w:rsidRPr="00D75D89" w:rsidTr="00310987">
        <w:trPr>
          <w:trHeight w:val="6704"/>
        </w:trPr>
        <w:tc>
          <w:tcPr>
            <w:tcW w:w="1277" w:type="dxa"/>
          </w:tcPr>
          <w:p w:rsidR="00C641EA" w:rsidRPr="00D75D89" w:rsidRDefault="00A74996" w:rsidP="00384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76" w:type="dxa"/>
          </w:tcPr>
          <w:p w:rsidR="00C641EA" w:rsidRDefault="00C641EA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б\н</w:t>
            </w:r>
          </w:p>
          <w:p w:rsidR="00C641EA" w:rsidRPr="00D75D89" w:rsidRDefault="00C641EA" w:rsidP="00C641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від 12.03.2021</w:t>
            </w:r>
          </w:p>
        </w:tc>
        <w:tc>
          <w:tcPr>
            <w:tcW w:w="2268" w:type="dxa"/>
          </w:tcPr>
          <w:p w:rsidR="00C641EA" w:rsidRPr="00D75D89" w:rsidRDefault="00C641EA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41EA">
              <w:rPr>
                <w:rFonts w:ascii="Times New Roman" w:hAnsi="Times New Roman" w:cs="Times New Roman"/>
                <w:b/>
              </w:rPr>
              <w:t>Проєкт</w:t>
            </w:r>
            <w:proofErr w:type="spellEnd"/>
            <w:r w:rsidRPr="00C641EA">
              <w:rPr>
                <w:rFonts w:ascii="Times New Roman" w:hAnsi="Times New Roman" w:cs="Times New Roman"/>
                <w:b/>
              </w:rPr>
              <w:t xml:space="preserve"> наказу «Про внесення змін до Ставок плати за послуги з аеронавігаційного обслуговування повітряних суден у повітряному просторі України»</w:t>
            </w:r>
          </w:p>
        </w:tc>
        <w:tc>
          <w:tcPr>
            <w:tcW w:w="1983" w:type="dxa"/>
          </w:tcPr>
          <w:p w:rsidR="00C641EA" w:rsidRPr="00D75D89" w:rsidRDefault="00C641EA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МІУ</w:t>
            </w:r>
          </w:p>
        </w:tc>
        <w:tc>
          <w:tcPr>
            <w:tcW w:w="1844" w:type="dxa"/>
          </w:tcPr>
          <w:p w:rsidR="00C641EA" w:rsidRPr="00D75D89" w:rsidRDefault="00C641EA" w:rsidP="00C641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Висока!</w:t>
            </w:r>
          </w:p>
        </w:tc>
        <w:tc>
          <w:tcPr>
            <w:tcW w:w="4252" w:type="dxa"/>
          </w:tcPr>
          <w:p w:rsidR="00C641EA" w:rsidRPr="00C641EA" w:rsidRDefault="00C641EA" w:rsidP="00C641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41EA">
              <w:rPr>
                <w:rFonts w:ascii="Times New Roman" w:hAnsi="Times New Roman" w:cs="Times New Roman"/>
              </w:rPr>
              <w:t>Проєктом</w:t>
            </w:r>
            <w:proofErr w:type="spellEnd"/>
            <w:r w:rsidRPr="00C64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1EA">
              <w:rPr>
                <w:rFonts w:ascii="Times New Roman" w:hAnsi="Times New Roman" w:cs="Times New Roman"/>
              </w:rPr>
              <w:t>акта</w:t>
            </w:r>
            <w:proofErr w:type="spellEnd"/>
            <w:r w:rsidRPr="00C641EA">
              <w:rPr>
                <w:rFonts w:ascii="Times New Roman" w:hAnsi="Times New Roman" w:cs="Times New Roman"/>
              </w:rPr>
              <w:t xml:space="preserve"> пропонується ввести в дію на території України нову ставку плати за послуги з АНО на маршруті для польотів повітряних суден в окремій частині повітряного простору України над акваторією Чорного моря, в межах координат визначених Додатком 1 до Ставок плати за послуги з аеронавігаційного обслуговування повітряних суден у повітряному просторі України, та залишити без змін ставку плати за послуги з АНО на маршруті для польотів повітряних суден, які здійснюються у повітряному просторі районів польотної інформації України поза межами зазначених координат.</w:t>
            </w:r>
          </w:p>
          <w:p w:rsidR="00C641EA" w:rsidRPr="00C641EA" w:rsidRDefault="00C641EA" w:rsidP="00C641EA">
            <w:pPr>
              <w:jc w:val="both"/>
              <w:rPr>
                <w:rFonts w:ascii="Times New Roman" w:hAnsi="Times New Roman" w:cs="Times New Roman"/>
              </w:rPr>
            </w:pPr>
            <w:r w:rsidRPr="00C641EA">
              <w:rPr>
                <w:rFonts w:ascii="Times New Roman" w:hAnsi="Times New Roman" w:cs="Times New Roman"/>
              </w:rPr>
              <w:t>Також, пропонується встановити нову єдину ставку плати за послуги з АНО на підході та в районі аеродрому для польотів в аеропорти Київського авіаційного вузла (міжнародні аеропорти «Бориспіль» та «Київ/Жуляни») та залишити без змін ставку плати за послуги з АНО на підході та в районі аеродрому для всіх інших аеропортів України.</w:t>
            </w:r>
          </w:p>
        </w:tc>
        <w:tc>
          <w:tcPr>
            <w:tcW w:w="1559" w:type="dxa"/>
          </w:tcPr>
          <w:p w:rsidR="00C641EA" w:rsidRPr="00C641EA" w:rsidRDefault="00C641EA" w:rsidP="00C641EA">
            <w:pPr>
              <w:jc w:val="both"/>
              <w:rPr>
                <w:rFonts w:ascii="Times New Roman" w:hAnsi="Times New Roman" w:cs="Times New Roman"/>
              </w:rPr>
            </w:pPr>
            <w:r w:rsidRPr="00C641EA">
              <w:rPr>
                <w:rFonts w:ascii="Times New Roman" w:hAnsi="Times New Roman" w:cs="Times New Roman"/>
              </w:rPr>
              <w:t xml:space="preserve">Розміщено для обговорення на сайті МІУ до </w:t>
            </w:r>
            <w:r>
              <w:rPr>
                <w:rFonts w:ascii="Times New Roman" w:hAnsi="Times New Roman" w:cs="Times New Roman"/>
              </w:rPr>
              <w:t>09.04</w:t>
            </w:r>
            <w:r w:rsidRPr="00C641EA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1701" w:type="dxa"/>
          </w:tcPr>
          <w:p w:rsidR="00C641EA" w:rsidRPr="00C641EA" w:rsidRDefault="00C641EA" w:rsidP="00384457">
            <w:pPr>
              <w:jc w:val="center"/>
              <w:rPr>
                <w:rFonts w:ascii="Times New Roman" w:hAnsi="Times New Roman" w:cs="Times New Roman"/>
              </w:rPr>
            </w:pPr>
            <w:r w:rsidRPr="00C641EA">
              <w:rPr>
                <w:rFonts w:ascii="Times New Roman" w:hAnsi="Times New Roman" w:cs="Times New Roman"/>
              </w:rPr>
              <w:t>ФРТУ підтримано без зауважень</w:t>
            </w:r>
          </w:p>
        </w:tc>
      </w:tr>
      <w:tr w:rsidR="00491495" w:rsidRPr="00D75D89" w:rsidTr="000D156B">
        <w:trPr>
          <w:trHeight w:val="1215"/>
        </w:trPr>
        <w:tc>
          <w:tcPr>
            <w:tcW w:w="1277" w:type="dxa"/>
          </w:tcPr>
          <w:p w:rsidR="00491495" w:rsidRPr="00D75D89" w:rsidRDefault="00A74996" w:rsidP="00A749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91495" w:rsidRPr="00D75D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</w:tcPr>
          <w:p w:rsidR="00491495" w:rsidRPr="00D75D89" w:rsidRDefault="00491495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5149 від 25.02.2021</w:t>
            </w:r>
          </w:p>
        </w:tc>
        <w:tc>
          <w:tcPr>
            <w:tcW w:w="2268" w:type="dxa"/>
          </w:tcPr>
          <w:p w:rsidR="00491495" w:rsidRPr="00D75D89" w:rsidRDefault="00491495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 xml:space="preserve">Проект Закону про внесення змін до деяких законодавчих актів України щодо </w:t>
            </w:r>
            <w:r w:rsidRPr="00D75D89">
              <w:rPr>
                <w:rFonts w:ascii="Times New Roman" w:hAnsi="Times New Roman" w:cs="Times New Roman"/>
                <w:b/>
              </w:rPr>
              <w:lastRenderedPageBreak/>
              <w:t>реформування системи перевезень пасажирів автомобільним та міським електричним транспортом відповідно до стандартів Європейського Союзу</w:t>
            </w:r>
          </w:p>
        </w:tc>
        <w:tc>
          <w:tcPr>
            <w:tcW w:w="1983" w:type="dxa"/>
          </w:tcPr>
          <w:p w:rsidR="00491495" w:rsidRPr="00D75D89" w:rsidRDefault="00491495" w:rsidP="0049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lastRenderedPageBreak/>
              <w:t xml:space="preserve">Групою народних депутатів </w:t>
            </w:r>
            <w:proofErr w:type="spellStart"/>
            <w:r w:rsidRPr="00D75D89">
              <w:rPr>
                <w:rFonts w:ascii="Times New Roman" w:hAnsi="Times New Roman" w:cs="Times New Roman"/>
                <w:b/>
              </w:rPr>
              <w:t>Горенюк</w:t>
            </w:r>
            <w:proofErr w:type="spellEnd"/>
            <w:r w:rsidRPr="00D75D89">
              <w:rPr>
                <w:rFonts w:ascii="Times New Roman" w:hAnsi="Times New Roman" w:cs="Times New Roman"/>
                <w:b/>
              </w:rPr>
              <w:t xml:space="preserve"> О.О., Разумков Д.О.</w:t>
            </w:r>
          </w:p>
          <w:p w:rsidR="00491495" w:rsidRPr="00D75D89" w:rsidRDefault="00491495" w:rsidP="0049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lastRenderedPageBreak/>
              <w:t>Павловський П.І</w:t>
            </w:r>
          </w:p>
        </w:tc>
        <w:tc>
          <w:tcPr>
            <w:tcW w:w="1844" w:type="dxa"/>
          </w:tcPr>
          <w:p w:rsidR="00491495" w:rsidRPr="00D75D89" w:rsidRDefault="00491495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lastRenderedPageBreak/>
              <w:t>Висока!</w:t>
            </w:r>
          </w:p>
        </w:tc>
        <w:tc>
          <w:tcPr>
            <w:tcW w:w="4252" w:type="dxa"/>
          </w:tcPr>
          <w:p w:rsidR="009C02A7" w:rsidRPr="00D75D89" w:rsidRDefault="009C02A7" w:rsidP="009C02A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75D89">
              <w:rPr>
                <w:rFonts w:ascii="Times New Roman" w:eastAsia="Times New Roman" w:hAnsi="Times New Roman" w:cs="Times New Roman"/>
              </w:rPr>
              <w:t>Основними положеннями законопроекту є:</w:t>
            </w:r>
          </w:p>
          <w:p w:rsidR="009C02A7" w:rsidRPr="00D75D89" w:rsidRDefault="009C02A7" w:rsidP="009C02A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75D89">
              <w:rPr>
                <w:rFonts w:ascii="Times New Roman" w:eastAsia="Times New Roman" w:hAnsi="Times New Roman" w:cs="Times New Roman"/>
              </w:rPr>
              <w:t xml:space="preserve">запровадження для організаторів перевезень автомобільним транспортом можливості обирати між двома моделями </w:t>
            </w:r>
            <w:r w:rsidRPr="00D75D89">
              <w:rPr>
                <w:rFonts w:ascii="Times New Roman" w:eastAsia="Times New Roman" w:hAnsi="Times New Roman" w:cs="Times New Roman"/>
              </w:rPr>
              <w:lastRenderedPageBreak/>
              <w:t>організації перевезень: громадськими та комерційними послугами з перевезення пасажирів;</w:t>
            </w:r>
          </w:p>
          <w:p w:rsidR="009C02A7" w:rsidRPr="00D75D89" w:rsidRDefault="009C02A7" w:rsidP="009C02A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75D89">
              <w:rPr>
                <w:rFonts w:ascii="Times New Roman" w:eastAsia="Times New Roman" w:hAnsi="Times New Roman" w:cs="Times New Roman"/>
              </w:rPr>
              <w:t>імплементація положень Регламенту (ЄС) №1370/2007 для автомобільного та міського електричного транспорту;</w:t>
            </w:r>
          </w:p>
          <w:p w:rsidR="009C02A7" w:rsidRPr="00D75D89" w:rsidRDefault="009C02A7" w:rsidP="009C02A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75D89">
              <w:rPr>
                <w:rFonts w:ascii="Times New Roman" w:eastAsia="Times New Roman" w:hAnsi="Times New Roman" w:cs="Times New Roman"/>
              </w:rPr>
              <w:t>відкриття для організаторів перевезень автомобільним транспортом можливостей для закупівлі громадських послуг з перевезення пасажирів відповідно до законодавства про публічні закупівлі;</w:t>
            </w:r>
          </w:p>
          <w:p w:rsidR="009C02A7" w:rsidRPr="00D75D89" w:rsidRDefault="009C02A7" w:rsidP="009C02A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75D89">
              <w:rPr>
                <w:rFonts w:ascii="Times New Roman" w:eastAsia="Times New Roman" w:hAnsi="Times New Roman" w:cs="Times New Roman"/>
              </w:rPr>
              <w:t>визначення правових засад створення та діяльності уповноваженого підприємства – єдиного центру, відповідального за організацію надання транспортних послуг в межах відповідної території;</w:t>
            </w:r>
          </w:p>
          <w:p w:rsidR="009C02A7" w:rsidRPr="00D75D89" w:rsidRDefault="009C02A7" w:rsidP="009C02A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75D89">
              <w:rPr>
                <w:rFonts w:ascii="Times New Roman" w:eastAsia="Times New Roman" w:hAnsi="Times New Roman" w:cs="Times New Roman"/>
              </w:rPr>
              <w:t>створення передумов для розширення джерел фінансування громадського транспорту;</w:t>
            </w:r>
          </w:p>
          <w:p w:rsidR="009C02A7" w:rsidRPr="00D75D89" w:rsidRDefault="009C02A7" w:rsidP="009C02A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75D89">
              <w:rPr>
                <w:rFonts w:ascii="Times New Roman" w:eastAsia="Times New Roman" w:hAnsi="Times New Roman" w:cs="Times New Roman"/>
              </w:rPr>
              <w:t>чітке розмежування громадських та комерційних послуг з перевезення пасажирів відповідно до їх економічної природи;</w:t>
            </w:r>
          </w:p>
          <w:p w:rsidR="009C02A7" w:rsidRPr="00D75D89" w:rsidRDefault="009C02A7" w:rsidP="009C02A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75D89">
              <w:rPr>
                <w:rFonts w:ascii="Times New Roman" w:eastAsia="Times New Roman" w:hAnsi="Times New Roman" w:cs="Times New Roman"/>
              </w:rPr>
              <w:t>організація та проведення конкурсів з визначення перевізників на комерційних маршрутах на електронних майданчиках онлайн;</w:t>
            </w:r>
          </w:p>
          <w:p w:rsidR="009C02A7" w:rsidRPr="00D75D89" w:rsidRDefault="009C02A7" w:rsidP="009C02A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75D89">
              <w:rPr>
                <w:rFonts w:ascii="Times New Roman" w:eastAsia="Times New Roman" w:hAnsi="Times New Roman" w:cs="Times New Roman"/>
              </w:rPr>
              <w:t xml:space="preserve">визначення правових засад для впровадження в галузі сучасних ІТ-рішень для максимальної </w:t>
            </w:r>
            <w:proofErr w:type="spellStart"/>
            <w:r w:rsidRPr="00D75D89">
              <w:rPr>
                <w:rFonts w:ascii="Times New Roman" w:eastAsia="Times New Roman" w:hAnsi="Times New Roman" w:cs="Times New Roman"/>
              </w:rPr>
              <w:t>діджиталізації</w:t>
            </w:r>
            <w:proofErr w:type="spellEnd"/>
            <w:r w:rsidRPr="00D75D89">
              <w:rPr>
                <w:rFonts w:ascii="Times New Roman" w:eastAsia="Times New Roman" w:hAnsi="Times New Roman" w:cs="Times New Roman"/>
              </w:rPr>
              <w:t xml:space="preserve"> процесів “організатор-перевізник-пасажир”;</w:t>
            </w:r>
          </w:p>
          <w:p w:rsidR="009C02A7" w:rsidRPr="00D75D89" w:rsidRDefault="009C02A7" w:rsidP="009C02A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75D89">
              <w:rPr>
                <w:rFonts w:ascii="Times New Roman" w:eastAsia="Times New Roman" w:hAnsi="Times New Roman" w:cs="Times New Roman"/>
              </w:rPr>
              <w:t xml:space="preserve">удосконалення механізмів фінансового забезпечення права на </w:t>
            </w:r>
            <w:r w:rsidRPr="00D75D89">
              <w:rPr>
                <w:rFonts w:ascii="Times New Roman" w:eastAsia="Times New Roman" w:hAnsi="Times New Roman" w:cs="Times New Roman"/>
              </w:rPr>
              <w:lastRenderedPageBreak/>
              <w:t>пільговий проїзд як державної соціальної гарантії.</w:t>
            </w:r>
          </w:p>
          <w:p w:rsidR="00491495" w:rsidRPr="00D75D89" w:rsidRDefault="00491495" w:rsidP="009C02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1495" w:rsidRPr="00D75D89" w:rsidRDefault="00491495" w:rsidP="00384457">
            <w:pPr>
              <w:jc w:val="center"/>
              <w:rPr>
                <w:rFonts w:ascii="Times New Roman" w:hAnsi="Times New Roman" w:cs="Times New Roman"/>
              </w:rPr>
            </w:pPr>
            <w:r w:rsidRPr="00D75D89">
              <w:rPr>
                <w:rFonts w:ascii="Times New Roman" w:hAnsi="Times New Roman" w:cs="Times New Roman"/>
              </w:rPr>
              <w:lastRenderedPageBreak/>
              <w:t>Знаходиться на розгляді керівництва ВРУ</w:t>
            </w:r>
          </w:p>
        </w:tc>
        <w:tc>
          <w:tcPr>
            <w:tcW w:w="1701" w:type="dxa"/>
          </w:tcPr>
          <w:p w:rsidR="00491495" w:rsidRPr="00D75D89" w:rsidRDefault="009C02A7" w:rsidP="0011015E">
            <w:pPr>
              <w:jc w:val="center"/>
              <w:rPr>
                <w:rFonts w:ascii="Times New Roman" w:hAnsi="Times New Roman" w:cs="Times New Roman"/>
              </w:rPr>
            </w:pPr>
            <w:r w:rsidRPr="00D75D89">
              <w:rPr>
                <w:rFonts w:ascii="Times New Roman" w:hAnsi="Times New Roman" w:cs="Times New Roman"/>
              </w:rPr>
              <w:t xml:space="preserve">Надіслано </w:t>
            </w:r>
            <w:r w:rsidR="0011015E">
              <w:rPr>
                <w:rFonts w:ascii="Times New Roman" w:hAnsi="Times New Roman" w:cs="Times New Roman"/>
              </w:rPr>
              <w:t xml:space="preserve">комітету ВРУ позицію про необхідність повернення </w:t>
            </w:r>
            <w:r w:rsidR="0011015E">
              <w:rPr>
                <w:rFonts w:ascii="Times New Roman" w:hAnsi="Times New Roman" w:cs="Times New Roman"/>
              </w:rPr>
              <w:lastRenderedPageBreak/>
              <w:t>розробникам на доопрацювання (лист від 02.04.2021)</w:t>
            </w:r>
          </w:p>
        </w:tc>
      </w:tr>
      <w:tr w:rsidR="00310987" w:rsidRPr="00D75D89" w:rsidTr="000D156B">
        <w:trPr>
          <w:trHeight w:val="1215"/>
        </w:trPr>
        <w:tc>
          <w:tcPr>
            <w:tcW w:w="1277" w:type="dxa"/>
          </w:tcPr>
          <w:p w:rsidR="00310987" w:rsidRPr="00D75D89" w:rsidRDefault="00A74996" w:rsidP="004914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1276" w:type="dxa"/>
          </w:tcPr>
          <w:p w:rsidR="00310987" w:rsidRPr="00D75D89" w:rsidRDefault="00310987" w:rsidP="00310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987">
              <w:rPr>
                <w:rFonts w:ascii="Times New Roman" w:hAnsi="Times New Roman" w:cs="Times New Roman"/>
                <w:b/>
              </w:rPr>
              <w:t>51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Pr="00310987">
              <w:rPr>
                <w:rFonts w:ascii="Times New Roman" w:hAnsi="Times New Roman" w:cs="Times New Roman"/>
                <w:b/>
              </w:rPr>
              <w:t xml:space="preserve"> від 25.02.2021</w:t>
            </w:r>
          </w:p>
        </w:tc>
        <w:tc>
          <w:tcPr>
            <w:tcW w:w="2268" w:type="dxa"/>
          </w:tcPr>
          <w:p w:rsidR="00310987" w:rsidRPr="00D75D89" w:rsidRDefault="00310987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ЗУ</w:t>
            </w:r>
            <w:r w:rsidRPr="00310987">
              <w:rPr>
                <w:rFonts w:ascii="Times New Roman" w:hAnsi="Times New Roman" w:cs="Times New Roman"/>
                <w:b/>
              </w:rPr>
              <w:t>«Про</w:t>
            </w:r>
            <w:proofErr w:type="spellEnd"/>
            <w:r w:rsidRPr="00310987">
              <w:rPr>
                <w:rFonts w:ascii="Times New Roman" w:hAnsi="Times New Roman" w:cs="Times New Roman"/>
                <w:b/>
              </w:rPr>
              <w:t xml:space="preserve"> внесення змін до Бюджетного кодексу України щодо запровадження довгострокових бюджетних зобов'язань з фінансування громадських послуг з перевезення пасажирів відповідно до стандартів Європейського Союзу та посилення фінансових гарантій забезпечення прав громадян на пільговий проїзд»</w:t>
            </w:r>
          </w:p>
        </w:tc>
        <w:tc>
          <w:tcPr>
            <w:tcW w:w="1983" w:type="dxa"/>
          </w:tcPr>
          <w:p w:rsidR="00310987" w:rsidRPr="00310987" w:rsidRDefault="00310987" w:rsidP="00310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987">
              <w:rPr>
                <w:rFonts w:ascii="Times New Roman" w:hAnsi="Times New Roman" w:cs="Times New Roman"/>
                <w:b/>
              </w:rPr>
              <w:t xml:space="preserve">Групою народних депутатів </w:t>
            </w:r>
            <w:proofErr w:type="spellStart"/>
            <w:r w:rsidRPr="00310987">
              <w:rPr>
                <w:rFonts w:ascii="Times New Roman" w:hAnsi="Times New Roman" w:cs="Times New Roman"/>
                <w:b/>
              </w:rPr>
              <w:t>Горенюк</w:t>
            </w:r>
            <w:proofErr w:type="spellEnd"/>
            <w:r w:rsidRPr="00310987">
              <w:rPr>
                <w:rFonts w:ascii="Times New Roman" w:hAnsi="Times New Roman" w:cs="Times New Roman"/>
                <w:b/>
              </w:rPr>
              <w:t xml:space="preserve"> О.О., Разумков Д.О.</w:t>
            </w:r>
          </w:p>
          <w:p w:rsidR="00310987" w:rsidRPr="00D75D89" w:rsidRDefault="00310987" w:rsidP="00310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987">
              <w:rPr>
                <w:rFonts w:ascii="Times New Roman" w:hAnsi="Times New Roman" w:cs="Times New Roman"/>
                <w:b/>
              </w:rPr>
              <w:t>Павловський П.</w:t>
            </w:r>
          </w:p>
        </w:tc>
        <w:tc>
          <w:tcPr>
            <w:tcW w:w="1844" w:type="dxa"/>
          </w:tcPr>
          <w:p w:rsidR="00310987" w:rsidRPr="00D75D89" w:rsidRDefault="00310987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987">
              <w:rPr>
                <w:rFonts w:ascii="Times New Roman" w:hAnsi="Times New Roman" w:cs="Times New Roman"/>
                <w:b/>
              </w:rPr>
              <w:t>Висока!</w:t>
            </w:r>
          </w:p>
        </w:tc>
        <w:tc>
          <w:tcPr>
            <w:tcW w:w="4252" w:type="dxa"/>
          </w:tcPr>
          <w:p w:rsidR="00A74996" w:rsidRPr="00A74996" w:rsidRDefault="00A74996" w:rsidP="00A7499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74996">
              <w:rPr>
                <w:rFonts w:ascii="Times New Roman" w:eastAsia="Times New Roman" w:hAnsi="Times New Roman" w:cs="Times New Roman"/>
              </w:rPr>
              <w:t>Основними положеннями законопроекту є:</w:t>
            </w:r>
          </w:p>
          <w:p w:rsidR="00A74996" w:rsidRPr="00A74996" w:rsidRDefault="00A74996" w:rsidP="00A7499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74996">
              <w:rPr>
                <w:rFonts w:ascii="Times New Roman" w:eastAsia="Times New Roman" w:hAnsi="Times New Roman" w:cs="Times New Roman"/>
              </w:rPr>
              <w:t>запровадження в Бюджетному кодексі України норм щодо довгострокових бюджетних зобов’язань з фінансування громадських послуг з перевезення пасажирів;</w:t>
            </w:r>
          </w:p>
          <w:p w:rsidR="00A74996" w:rsidRPr="00A74996" w:rsidRDefault="00A74996" w:rsidP="00A7499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74996">
              <w:rPr>
                <w:rFonts w:ascii="Times New Roman" w:eastAsia="Times New Roman" w:hAnsi="Times New Roman" w:cs="Times New Roman"/>
              </w:rPr>
              <w:t>визначення правових підстав та порядку надання цільової державної підтримки, що надається з метою вирівнювання можливостей окремих територіальних громад щодо забезпечення надання державних соціальних гарантій.</w:t>
            </w:r>
          </w:p>
          <w:p w:rsidR="00310987" w:rsidRPr="00D75D89" w:rsidRDefault="00310987" w:rsidP="009C02A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10987" w:rsidRPr="00D75D89" w:rsidRDefault="00A74996" w:rsidP="00384457">
            <w:pPr>
              <w:jc w:val="center"/>
              <w:rPr>
                <w:rFonts w:ascii="Times New Roman" w:hAnsi="Times New Roman" w:cs="Times New Roman"/>
              </w:rPr>
            </w:pPr>
            <w:r w:rsidRPr="00A74996">
              <w:rPr>
                <w:rFonts w:ascii="Times New Roman" w:hAnsi="Times New Roman" w:cs="Times New Roman"/>
              </w:rPr>
              <w:t>Знаходиться на розгляді керівництва ВРУ</w:t>
            </w:r>
          </w:p>
        </w:tc>
        <w:tc>
          <w:tcPr>
            <w:tcW w:w="1701" w:type="dxa"/>
          </w:tcPr>
          <w:p w:rsidR="00310987" w:rsidRPr="00D75D89" w:rsidRDefault="00A74996" w:rsidP="00A74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ФРТУ відсутні пропозиції та зауваження до цього проекту.</w:t>
            </w:r>
          </w:p>
        </w:tc>
      </w:tr>
      <w:tr w:rsidR="008D0B8E" w:rsidRPr="00D75D89" w:rsidTr="000D156B">
        <w:trPr>
          <w:trHeight w:val="1215"/>
        </w:trPr>
        <w:tc>
          <w:tcPr>
            <w:tcW w:w="1277" w:type="dxa"/>
          </w:tcPr>
          <w:p w:rsidR="008D0B8E" w:rsidRPr="00D75D89" w:rsidRDefault="00A74996" w:rsidP="00A749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276" w:type="dxa"/>
          </w:tcPr>
          <w:p w:rsidR="008D0B8E" w:rsidRPr="00D75D89" w:rsidRDefault="008D0B8E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б/н</w:t>
            </w:r>
          </w:p>
          <w:p w:rsidR="008D0B8E" w:rsidRPr="00D75D89" w:rsidRDefault="008D0B8E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від 22.02.21</w:t>
            </w:r>
          </w:p>
        </w:tc>
        <w:tc>
          <w:tcPr>
            <w:tcW w:w="2268" w:type="dxa"/>
          </w:tcPr>
          <w:p w:rsidR="008D0B8E" w:rsidRPr="00D75D89" w:rsidRDefault="008D0B8E" w:rsidP="008D0B8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5D89">
              <w:rPr>
                <w:rFonts w:ascii="Times New Roman" w:hAnsi="Times New Roman" w:cs="Times New Roman"/>
                <w:b/>
              </w:rPr>
              <w:t>Проєкт</w:t>
            </w:r>
            <w:proofErr w:type="spellEnd"/>
            <w:r w:rsidRPr="00D75D89">
              <w:rPr>
                <w:rFonts w:ascii="Times New Roman" w:hAnsi="Times New Roman" w:cs="Times New Roman"/>
                <w:b/>
              </w:rPr>
              <w:t xml:space="preserve"> наказу «Про затвердження Порядку встановлення заборони експлуатації вантажних вагонів на залізничному транспорті»</w:t>
            </w:r>
          </w:p>
        </w:tc>
        <w:tc>
          <w:tcPr>
            <w:tcW w:w="1983" w:type="dxa"/>
          </w:tcPr>
          <w:p w:rsidR="008D0B8E" w:rsidRPr="00D75D89" w:rsidRDefault="008D0B8E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МІУ</w:t>
            </w:r>
          </w:p>
        </w:tc>
        <w:tc>
          <w:tcPr>
            <w:tcW w:w="1844" w:type="dxa"/>
          </w:tcPr>
          <w:p w:rsidR="008D0B8E" w:rsidRPr="00D75D89" w:rsidRDefault="008D0B8E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Висока!</w:t>
            </w:r>
          </w:p>
        </w:tc>
        <w:tc>
          <w:tcPr>
            <w:tcW w:w="4252" w:type="dxa"/>
          </w:tcPr>
          <w:p w:rsidR="008D0B8E" w:rsidRPr="00D75D89" w:rsidRDefault="008D0B8E" w:rsidP="008D0B8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75D89">
              <w:rPr>
                <w:rFonts w:ascii="Times New Roman" w:hAnsi="Times New Roman" w:cs="Times New Roman"/>
              </w:rPr>
              <w:t>Проєктом</w:t>
            </w:r>
            <w:proofErr w:type="spellEnd"/>
            <w:r w:rsidRPr="00D75D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D89">
              <w:rPr>
                <w:rFonts w:ascii="Times New Roman" w:hAnsi="Times New Roman" w:cs="Times New Roman"/>
              </w:rPr>
              <w:t>акта</w:t>
            </w:r>
            <w:proofErr w:type="spellEnd"/>
            <w:r w:rsidRPr="00D75D89">
              <w:rPr>
                <w:rFonts w:ascii="Times New Roman" w:hAnsi="Times New Roman" w:cs="Times New Roman"/>
              </w:rPr>
              <w:t xml:space="preserve"> визначається механізм заборони експлуатації транспортних засобів, зокрема вантажних вагонів залізничного транспорту, і запроваджується обмеження щодо продовження строку служби певних типів вагонів, зокрема піввагонів та зерновозів, а саме не більше ніж на полуторний призначений строк служби</w:t>
            </w:r>
            <w:r w:rsidRPr="00D75D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8D0B8E" w:rsidRPr="00D75D89" w:rsidRDefault="008D0B8E" w:rsidP="008D0B8E">
            <w:pPr>
              <w:jc w:val="center"/>
              <w:rPr>
                <w:rFonts w:ascii="Times New Roman" w:hAnsi="Times New Roman" w:cs="Times New Roman"/>
              </w:rPr>
            </w:pPr>
            <w:r w:rsidRPr="00D75D89">
              <w:rPr>
                <w:rFonts w:ascii="Times New Roman" w:hAnsi="Times New Roman" w:cs="Times New Roman"/>
              </w:rPr>
              <w:t>Розміщено для обговорення на сайті МІУ до 22.03.21</w:t>
            </w:r>
          </w:p>
        </w:tc>
        <w:tc>
          <w:tcPr>
            <w:tcW w:w="1701" w:type="dxa"/>
          </w:tcPr>
          <w:p w:rsidR="0011015E" w:rsidRDefault="0011015E" w:rsidP="00384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 надіслано уточнюючу позицію ФР</w:t>
            </w:r>
            <w:r w:rsidR="00B4042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У за результатами обговорення</w:t>
            </w:r>
            <w:r w:rsidR="00B40423">
              <w:rPr>
                <w:rFonts w:ascii="Times New Roman" w:hAnsi="Times New Roman" w:cs="Times New Roman"/>
              </w:rPr>
              <w:t xml:space="preserve"> у ФРУ.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0B8E" w:rsidRPr="00D75D89" w:rsidRDefault="00547DBF" w:rsidP="00384457">
            <w:pPr>
              <w:jc w:val="center"/>
              <w:rPr>
                <w:rFonts w:ascii="Times New Roman" w:hAnsi="Times New Roman" w:cs="Times New Roman"/>
              </w:rPr>
            </w:pPr>
            <w:r w:rsidRPr="00D75D89">
              <w:rPr>
                <w:rFonts w:ascii="Times New Roman" w:hAnsi="Times New Roman" w:cs="Times New Roman"/>
              </w:rPr>
              <w:t xml:space="preserve">23.02.21 висловлено </w:t>
            </w:r>
            <w:r w:rsidRPr="00D75D89">
              <w:rPr>
                <w:rFonts w:ascii="Times New Roman" w:hAnsi="Times New Roman" w:cs="Times New Roman"/>
              </w:rPr>
              <w:lastRenderedPageBreak/>
              <w:t>позицію про необхідність суттєвого доопрацювання до КМУ,МІУ, ДРС, МЕРТ, ФРУ (19-02/21)</w:t>
            </w:r>
          </w:p>
        </w:tc>
      </w:tr>
      <w:tr w:rsidR="00547DBF" w:rsidRPr="00D75D89" w:rsidTr="000D156B">
        <w:trPr>
          <w:trHeight w:val="1215"/>
        </w:trPr>
        <w:tc>
          <w:tcPr>
            <w:tcW w:w="1277" w:type="dxa"/>
          </w:tcPr>
          <w:p w:rsidR="00547DBF" w:rsidRPr="00D75D89" w:rsidRDefault="00A74996" w:rsidP="00A749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E23C5F" w:rsidRPr="00D75D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</w:tcPr>
          <w:p w:rsidR="00547DBF" w:rsidRDefault="00B40423" w:rsidP="00B404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н</w:t>
            </w:r>
          </w:p>
          <w:p w:rsidR="00B40423" w:rsidRPr="00D75D89" w:rsidRDefault="00B40423" w:rsidP="00B404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Від 05.02.2021</w:t>
            </w:r>
          </w:p>
        </w:tc>
        <w:tc>
          <w:tcPr>
            <w:tcW w:w="2268" w:type="dxa"/>
          </w:tcPr>
          <w:p w:rsidR="00547DBF" w:rsidRPr="00D75D89" w:rsidRDefault="00B40423" w:rsidP="00B404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0423">
              <w:rPr>
                <w:rFonts w:ascii="Times New Roman" w:hAnsi="Times New Roman" w:cs="Times New Roman"/>
                <w:b/>
              </w:rPr>
              <w:t>Проєкт</w:t>
            </w:r>
            <w:proofErr w:type="spellEnd"/>
            <w:r w:rsidRPr="00B40423">
              <w:rPr>
                <w:rFonts w:ascii="Times New Roman" w:hAnsi="Times New Roman" w:cs="Times New Roman"/>
                <w:b/>
              </w:rPr>
              <w:t xml:space="preserve"> наказу</w:t>
            </w:r>
            <w:r>
              <w:rPr>
                <w:rFonts w:ascii="Times New Roman" w:hAnsi="Times New Roman" w:cs="Times New Roman"/>
                <w:b/>
              </w:rPr>
              <w:t xml:space="preserve"> «Про затвердження Авіаційних правил України «Технічні вимоги та адміністративні процедури для сертифікації та експлуатації наземних засобів зв’язку, навігації та спостереження в цивільній авіації України»</w:t>
            </w:r>
          </w:p>
        </w:tc>
        <w:tc>
          <w:tcPr>
            <w:tcW w:w="1983" w:type="dxa"/>
          </w:tcPr>
          <w:p w:rsidR="00E23C5F" w:rsidRPr="00D75D89" w:rsidRDefault="00B40423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Державіслужба</w:t>
            </w:r>
            <w:proofErr w:type="spellEnd"/>
          </w:p>
        </w:tc>
        <w:tc>
          <w:tcPr>
            <w:tcW w:w="1844" w:type="dxa"/>
          </w:tcPr>
          <w:p w:rsidR="00547DBF" w:rsidRPr="00D75D89" w:rsidRDefault="00B40423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Середня!</w:t>
            </w:r>
          </w:p>
        </w:tc>
        <w:tc>
          <w:tcPr>
            <w:tcW w:w="4252" w:type="dxa"/>
          </w:tcPr>
          <w:p w:rsidR="004F6688" w:rsidRPr="004F6688" w:rsidRDefault="004F6688" w:rsidP="004F6688">
            <w:pPr>
              <w:jc w:val="both"/>
              <w:rPr>
                <w:rFonts w:ascii="Times New Roman" w:hAnsi="Times New Roman" w:cs="Times New Roman"/>
              </w:rPr>
            </w:pPr>
            <w:r w:rsidRPr="004F6688">
              <w:rPr>
                <w:rFonts w:ascii="Times New Roman" w:hAnsi="Times New Roman" w:cs="Times New Roman"/>
              </w:rPr>
              <w:t xml:space="preserve">Метою </w:t>
            </w:r>
            <w:proofErr w:type="spellStart"/>
            <w:r w:rsidRPr="004F6688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4F6688">
              <w:rPr>
                <w:rFonts w:ascii="Times New Roman" w:hAnsi="Times New Roman" w:cs="Times New Roman"/>
              </w:rPr>
              <w:t xml:space="preserve"> регуляторного </w:t>
            </w:r>
            <w:proofErr w:type="spellStart"/>
            <w:r w:rsidRPr="004F6688">
              <w:rPr>
                <w:rFonts w:ascii="Times New Roman" w:hAnsi="Times New Roman" w:cs="Times New Roman"/>
              </w:rPr>
              <w:t>акта</w:t>
            </w:r>
            <w:proofErr w:type="spellEnd"/>
            <w:r w:rsidRPr="004F6688">
              <w:rPr>
                <w:rFonts w:ascii="Times New Roman" w:hAnsi="Times New Roman" w:cs="Times New Roman"/>
              </w:rPr>
              <w:t xml:space="preserve"> є приведення нормативно-правових актів</w:t>
            </w:r>
          </w:p>
          <w:p w:rsidR="004F6688" w:rsidRPr="004F6688" w:rsidRDefault="004F6688" w:rsidP="004F6688">
            <w:pPr>
              <w:jc w:val="both"/>
              <w:rPr>
                <w:rFonts w:ascii="Times New Roman" w:hAnsi="Times New Roman" w:cs="Times New Roman"/>
              </w:rPr>
            </w:pPr>
            <w:r w:rsidRPr="004F6688">
              <w:rPr>
                <w:rFonts w:ascii="Times New Roman" w:hAnsi="Times New Roman" w:cs="Times New Roman"/>
              </w:rPr>
              <w:t>відповідно до яких здійснюється сертифікація, технічна експлуатація, уведення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688">
              <w:rPr>
                <w:rFonts w:ascii="Times New Roman" w:hAnsi="Times New Roman" w:cs="Times New Roman"/>
              </w:rPr>
              <w:t>експлуатацію нових засобів ЗНС у галузі цивільної авіації у відповідність до положень</w:t>
            </w:r>
          </w:p>
          <w:p w:rsidR="004F6688" w:rsidRPr="004F6688" w:rsidRDefault="004F6688" w:rsidP="004F6688">
            <w:pPr>
              <w:jc w:val="both"/>
              <w:rPr>
                <w:rFonts w:ascii="Times New Roman" w:hAnsi="Times New Roman" w:cs="Times New Roman"/>
              </w:rPr>
            </w:pPr>
            <w:r w:rsidRPr="004F6688">
              <w:rPr>
                <w:rFonts w:ascii="Times New Roman" w:hAnsi="Times New Roman" w:cs="Times New Roman"/>
              </w:rPr>
              <w:t>Повітряного кодексу України та міжнародних правил та вимог зокрема шляхом:</w:t>
            </w:r>
          </w:p>
          <w:p w:rsidR="004F6688" w:rsidRPr="004F6688" w:rsidRDefault="004F6688" w:rsidP="004F6688">
            <w:pPr>
              <w:jc w:val="both"/>
              <w:rPr>
                <w:rFonts w:ascii="Times New Roman" w:hAnsi="Times New Roman" w:cs="Times New Roman"/>
              </w:rPr>
            </w:pPr>
            <w:r w:rsidRPr="004F6688">
              <w:rPr>
                <w:rFonts w:ascii="Times New Roman" w:hAnsi="Times New Roman" w:cs="Times New Roman"/>
              </w:rPr>
              <w:t>встановлення вимог до сертифікації та технічної експлуатації засобів ЗНС;</w:t>
            </w:r>
          </w:p>
          <w:p w:rsidR="004F6688" w:rsidRPr="004F6688" w:rsidRDefault="004F6688" w:rsidP="004F6688">
            <w:pPr>
              <w:jc w:val="both"/>
              <w:rPr>
                <w:rFonts w:ascii="Times New Roman" w:hAnsi="Times New Roman" w:cs="Times New Roman"/>
              </w:rPr>
            </w:pPr>
            <w:r w:rsidRPr="004F6688">
              <w:rPr>
                <w:rFonts w:ascii="Times New Roman" w:hAnsi="Times New Roman" w:cs="Times New Roman"/>
              </w:rPr>
              <w:t>приведення національної нормативно-правової бази у відповідність до Додатку 10</w:t>
            </w:r>
          </w:p>
          <w:p w:rsidR="004F6688" w:rsidRPr="004F6688" w:rsidRDefault="004F6688" w:rsidP="004F6688">
            <w:pPr>
              <w:jc w:val="both"/>
              <w:rPr>
                <w:rFonts w:ascii="Times New Roman" w:hAnsi="Times New Roman" w:cs="Times New Roman"/>
              </w:rPr>
            </w:pPr>
            <w:r w:rsidRPr="004F6688">
              <w:rPr>
                <w:rFonts w:ascii="Times New Roman" w:hAnsi="Times New Roman" w:cs="Times New Roman"/>
              </w:rPr>
              <w:t>Конвенції з урахуванням положень Регламенту Комісії (ЄС) № 552/2004 від 10 березня 2004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688">
              <w:rPr>
                <w:rFonts w:ascii="Times New Roman" w:hAnsi="Times New Roman" w:cs="Times New Roman"/>
              </w:rPr>
              <w:t>року;</w:t>
            </w:r>
          </w:p>
          <w:p w:rsidR="004F6688" w:rsidRPr="004F6688" w:rsidRDefault="004F6688" w:rsidP="004F6688">
            <w:pPr>
              <w:jc w:val="both"/>
              <w:rPr>
                <w:rFonts w:ascii="Times New Roman" w:hAnsi="Times New Roman" w:cs="Times New Roman"/>
              </w:rPr>
            </w:pPr>
          </w:p>
          <w:p w:rsidR="00547DBF" w:rsidRPr="00D75D89" w:rsidRDefault="00547DBF" w:rsidP="004F66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3C5F" w:rsidRPr="00D75D89" w:rsidRDefault="004F6688" w:rsidP="004F6688">
            <w:pPr>
              <w:jc w:val="center"/>
              <w:rPr>
                <w:rFonts w:ascii="Times New Roman" w:hAnsi="Times New Roman" w:cs="Times New Roman"/>
              </w:rPr>
            </w:pPr>
            <w:r w:rsidRPr="004F6688">
              <w:rPr>
                <w:rFonts w:ascii="Times New Roman" w:hAnsi="Times New Roman" w:cs="Times New Roman"/>
              </w:rPr>
              <w:t xml:space="preserve">Розміщено для обговорення на сайті </w:t>
            </w:r>
            <w:proofErr w:type="spellStart"/>
            <w:r>
              <w:rPr>
                <w:rFonts w:ascii="Times New Roman" w:hAnsi="Times New Roman" w:cs="Times New Roman"/>
              </w:rPr>
              <w:t>Державіаслужби</w:t>
            </w:r>
            <w:proofErr w:type="spellEnd"/>
            <w:r w:rsidRPr="004F6688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10</w:t>
            </w:r>
            <w:r w:rsidRPr="004F6688">
              <w:rPr>
                <w:rFonts w:ascii="Times New Roman" w:hAnsi="Times New Roman" w:cs="Times New Roman"/>
              </w:rPr>
              <w:t>.03.21</w:t>
            </w:r>
          </w:p>
        </w:tc>
        <w:tc>
          <w:tcPr>
            <w:tcW w:w="1701" w:type="dxa"/>
          </w:tcPr>
          <w:p w:rsidR="00547DBF" w:rsidRPr="00D75D89" w:rsidRDefault="004F6688" w:rsidP="00384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Погоджено ФРТУ без зауважень.</w:t>
            </w:r>
          </w:p>
        </w:tc>
      </w:tr>
      <w:tr w:rsidR="008D0B8E" w:rsidRPr="00D75D89" w:rsidTr="000D156B">
        <w:trPr>
          <w:trHeight w:val="1215"/>
        </w:trPr>
        <w:tc>
          <w:tcPr>
            <w:tcW w:w="1277" w:type="dxa"/>
          </w:tcPr>
          <w:p w:rsidR="008D0B8E" w:rsidRPr="00D75D89" w:rsidRDefault="00A74996" w:rsidP="00A749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23C5F" w:rsidRPr="00D75D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</w:tcPr>
          <w:p w:rsidR="008D0B8E" w:rsidRPr="00D75D89" w:rsidRDefault="008D0B8E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б/н</w:t>
            </w:r>
          </w:p>
          <w:p w:rsidR="008D0B8E" w:rsidRPr="00D75D89" w:rsidRDefault="008D0B8E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від</w:t>
            </w:r>
          </w:p>
          <w:p w:rsidR="00547DBF" w:rsidRPr="00D75D89" w:rsidRDefault="00547DBF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18.02.21</w:t>
            </w:r>
          </w:p>
        </w:tc>
        <w:tc>
          <w:tcPr>
            <w:tcW w:w="2268" w:type="dxa"/>
          </w:tcPr>
          <w:p w:rsidR="008D0B8E" w:rsidRPr="00D75D89" w:rsidRDefault="008D0B8E" w:rsidP="008D0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 xml:space="preserve"> «Про внесення змін до нормативно-правових актів Міністерства транспорту та зв’язку України та Міністерства інфраструктури України»</w:t>
            </w:r>
          </w:p>
        </w:tc>
        <w:tc>
          <w:tcPr>
            <w:tcW w:w="1983" w:type="dxa"/>
          </w:tcPr>
          <w:p w:rsidR="008D0B8E" w:rsidRPr="00D75D89" w:rsidRDefault="008D0B8E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МІУ</w:t>
            </w:r>
          </w:p>
        </w:tc>
        <w:tc>
          <w:tcPr>
            <w:tcW w:w="1844" w:type="dxa"/>
          </w:tcPr>
          <w:p w:rsidR="008D0B8E" w:rsidRPr="00D75D89" w:rsidRDefault="008D0B8E" w:rsidP="008D0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Середня!</w:t>
            </w:r>
          </w:p>
        </w:tc>
        <w:tc>
          <w:tcPr>
            <w:tcW w:w="4252" w:type="dxa"/>
          </w:tcPr>
          <w:p w:rsidR="008D0B8E" w:rsidRPr="00D75D89" w:rsidRDefault="008D0B8E" w:rsidP="008D0B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5D89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D75D89">
              <w:rPr>
                <w:rFonts w:ascii="Times New Roman" w:hAnsi="Times New Roman" w:cs="Times New Roman"/>
              </w:rPr>
              <w:t xml:space="preserve"> наказу передбачає дерегуляцію чинної системи підготовки та </w:t>
            </w:r>
            <w:proofErr w:type="spellStart"/>
            <w:r w:rsidRPr="00D75D89">
              <w:rPr>
                <w:rFonts w:ascii="Times New Roman" w:hAnsi="Times New Roman" w:cs="Times New Roman"/>
              </w:rPr>
              <w:t>дипломування</w:t>
            </w:r>
            <w:proofErr w:type="spellEnd"/>
            <w:r w:rsidRPr="00D75D89">
              <w:rPr>
                <w:rFonts w:ascii="Times New Roman" w:hAnsi="Times New Roman" w:cs="Times New Roman"/>
              </w:rPr>
              <w:t xml:space="preserve"> моряків, спрощення процедур </w:t>
            </w:r>
            <w:proofErr w:type="spellStart"/>
            <w:r w:rsidRPr="00D75D89">
              <w:rPr>
                <w:rFonts w:ascii="Times New Roman" w:hAnsi="Times New Roman" w:cs="Times New Roman"/>
              </w:rPr>
              <w:t>дипломування</w:t>
            </w:r>
            <w:proofErr w:type="spellEnd"/>
            <w:r w:rsidRPr="00D75D89">
              <w:rPr>
                <w:rFonts w:ascii="Times New Roman" w:hAnsi="Times New Roman" w:cs="Times New Roman"/>
              </w:rPr>
              <w:t xml:space="preserve"> моряків, її відкритості та інформативності. Таких цілей пропонується досягнути шляхом запровадження автоматизованої системи тестування моряків без участі людини-екзаменатора.</w:t>
            </w:r>
          </w:p>
        </w:tc>
        <w:tc>
          <w:tcPr>
            <w:tcW w:w="1559" w:type="dxa"/>
          </w:tcPr>
          <w:p w:rsidR="008D0B8E" w:rsidRPr="00D75D89" w:rsidRDefault="00547DBF" w:rsidP="00547DBF">
            <w:pPr>
              <w:jc w:val="center"/>
              <w:rPr>
                <w:rFonts w:ascii="Times New Roman" w:hAnsi="Times New Roman" w:cs="Times New Roman"/>
              </w:rPr>
            </w:pPr>
            <w:r w:rsidRPr="00D75D89">
              <w:rPr>
                <w:rFonts w:ascii="Times New Roman" w:hAnsi="Times New Roman" w:cs="Times New Roman"/>
              </w:rPr>
              <w:t>Розміщено для обговорення на сайті МІУ до 18.03.21</w:t>
            </w:r>
          </w:p>
        </w:tc>
        <w:tc>
          <w:tcPr>
            <w:tcW w:w="1701" w:type="dxa"/>
          </w:tcPr>
          <w:p w:rsidR="008D0B8E" w:rsidRPr="0011015E" w:rsidRDefault="0011015E" w:rsidP="0011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підтримано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ФРТУ</w:t>
            </w:r>
          </w:p>
        </w:tc>
      </w:tr>
    </w:tbl>
    <w:p w:rsidR="001E5A71" w:rsidRPr="00D75D89" w:rsidRDefault="001E5A71">
      <w:bookmarkStart w:id="0" w:name="_GoBack"/>
      <w:bookmarkEnd w:id="0"/>
    </w:p>
    <w:sectPr w:rsidR="001E5A71" w:rsidRPr="00D75D89" w:rsidSect="00690E0A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8E2" w:rsidRDefault="004168E2" w:rsidP="00083D3C">
      <w:pPr>
        <w:spacing w:after="0" w:line="240" w:lineRule="auto"/>
      </w:pPr>
      <w:r>
        <w:separator/>
      </w:r>
    </w:p>
  </w:endnote>
  <w:endnote w:type="continuationSeparator" w:id="0">
    <w:p w:rsidR="004168E2" w:rsidRDefault="004168E2" w:rsidP="0008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8E2" w:rsidRDefault="004168E2" w:rsidP="00083D3C">
      <w:pPr>
        <w:spacing w:after="0" w:line="240" w:lineRule="auto"/>
      </w:pPr>
      <w:r>
        <w:separator/>
      </w:r>
    </w:p>
  </w:footnote>
  <w:footnote w:type="continuationSeparator" w:id="0">
    <w:p w:rsidR="004168E2" w:rsidRDefault="004168E2" w:rsidP="0008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9D" w:rsidRPr="00774245" w:rsidRDefault="00BE609D" w:rsidP="00083D3C">
    <w:pPr>
      <w:jc w:val="center"/>
      <w:rPr>
        <w:rFonts w:ascii="Times New Roman" w:hAnsi="Times New Roman" w:cs="Times New Roman"/>
        <w:b/>
        <w:i/>
        <w:sz w:val="36"/>
        <w:szCs w:val="36"/>
      </w:rPr>
    </w:pPr>
    <w:r w:rsidRPr="00774245">
      <w:rPr>
        <w:rFonts w:ascii="Times New Roman" w:hAnsi="Times New Roman" w:cs="Times New Roman"/>
        <w:b/>
        <w:i/>
        <w:sz w:val="36"/>
        <w:szCs w:val="36"/>
      </w:rPr>
      <w:t>Моніторинг ФРТУ нормативно-правових актів</w:t>
    </w:r>
    <w:r w:rsidRPr="00774245">
      <w:rPr>
        <w:rFonts w:ascii="Times New Roman" w:hAnsi="Times New Roman" w:cs="Times New Roman"/>
        <w:b/>
        <w:i/>
        <w:sz w:val="36"/>
        <w:szCs w:val="36"/>
        <w:lang w:val="ru-RU"/>
      </w:rPr>
      <w:t xml:space="preserve"> за</w:t>
    </w:r>
    <w:r>
      <w:rPr>
        <w:rFonts w:ascii="Times New Roman" w:hAnsi="Times New Roman" w:cs="Times New Roman"/>
        <w:b/>
        <w:i/>
        <w:sz w:val="36"/>
        <w:szCs w:val="36"/>
        <w:lang w:val="ru-RU"/>
      </w:rPr>
      <w:t xml:space="preserve"> </w:t>
    </w:r>
    <w:proofErr w:type="spellStart"/>
    <w:r w:rsidR="0011015E">
      <w:rPr>
        <w:rFonts w:ascii="Times New Roman" w:hAnsi="Times New Roman" w:cs="Times New Roman"/>
        <w:b/>
        <w:i/>
        <w:sz w:val="36"/>
        <w:szCs w:val="36"/>
        <w:lang w:val="ru-RU"/>
      </w:rPr>
      <w:t>березень</w:t>
    </w:r>
    <w:proofErr w:type="spellEnd"/>
    <w:r>
      <w:rPr>
        <w:rFonts w:ascii="Times New Roman" w:hAnsi="Times New Roman" w:cs="Times New Roman"/>
        <w:b/>
        <w:i/>
        <w:sz w:val="36"/>
        <w:szCs w:val="36"/>
        <w:lang w:val="ru-RU"/>
      </w:rPr>
      <w:t xml:space="preserve"> </w:t>
    </w:r>
    <w:r w:rsidRPr="00774245">
      <w:rPr>
        <w:rFonts w:ascii="Times New Roman" w:hAnsi="Times New Roman" w:cs="Times New Roman"/>
        <w:b/>
        <w:i/>
        <w:sz w:val="36"/>
        <w:szCs w:val="36"/>
      </w:rPr>
      <w:t>202</w:t>
    </w:r>
    <w:r w:rsidR="0012256D">
      <w:rPr>
        <w:rFonts w:ascii="Times New Roman" w:hAnsi="Times New Roman" w:cs="Times New Roman"/>
        <w:b/>
        <w:i/>
        <w:sz w:val="36"/>
        <w:szCs w:val="36"/>
      </w:rPr>
      <w:t>1</w:t>
    </w:r>
    <w:r w:rsidRPr="00774245">
      <w:rPr>
        <w:rFonts w:ascii="Times New Roman" w:hAnsi="Times New Roman" w:cs="Times New Roman"/>
        <w:b/>
        <w:i/>
        <w:sz w:val="36"/>
        <w:szCs w:val="36"/>
      </w:rPr>
      <w:t xml:space="preserve"> </w:t>
    </w:r>
  </w:p>
  <w:p w:rsidR="00BE609D" w:rsidRDefault="00BE60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46D4"/>
    <w:multiLevelType w:val="multilevel"/>
    <w:tmpl w:val="DB6A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5F4B12"/>
    <w:multiLevelType w:val="multilevel"/>
    <w:tmpl w:val="823A75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1F30216"/>
    <w:multiLevelType w:val="hybridMultilevel"/>
    <w:tmpl w:val="FDC63B92"/>
    <w:lvl w:ilvl="0" w:tplc="218C418C">
      <w:start w:val="1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DD41DB4"/>
    <w:multiLevelType w:val="multilevel"/>
    <w:tmpl w:val="7BF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502E31"/>
    <w:multiLevelType w:val="hybridMultilevel"/>
    <w:tmpl w:val="AF1C6644"/>
    <w:lvl w:ilvl="0" w:tplc="79D08B18">
      <w:start w:val="118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3A"/>
    <w:rsid w:val="00017105"/>
    <w:rsid w:val="000371C3"/>
    <w:rsid w:val="00037EFB"/>
    <w:rsid w:val="00042E10"/>
    <w:rsid w:val="0005731B"/>
    <w:rsid w:val="00083D3C"/>
    <w:rsid w:val="00095B52"/>
    <w:rsid w:val="000B5C66"/>
    <w:rsid w:val="000C07FB"/>
    <w:rsid w:val="000C2F42"/>
    <w:rsid w:val="000D156B"/>
    <w:rsid w:val="000E01B0"/>
    <w:rsid w:val="000F4E91"/>
    <w:rsid w:val="0011015E"/>
    <w:rsid w:val="00112553"/>
    <w:rsid w:val="0012256D"/>
    <w:rsid w:val="00130278"/>
    <w:rsid w:val="00165E10"/>
    <w:rsid w:val="0017138A"/>
    <w:rsid w:val="00180DB0"/>
    <w:rsid w:val="00183D86"/>
    <w:rsid w:val="001A6548"/>
    <w:rsid w:val="001E4526"/>
    <w:rsid w:val="001E5A71"/>
    <w:rsid w:val="001F1002"/>
    <w:rsid w:val="001F5C46"/>
    <w:rsid w:val="00220B80"/>
    <w:rsid w:val="002461B4"/>
    <w:rsid w:val="002573BB"/>
    <w:rsid w:val="00272703"/>
    <w:rsid w:val="00297F37"/>
    <w:rsid w:val="00305F87"/>
    <w:rsid w:val="00310987"/>
    <w:rsid w:val="00355777"/>
    <w:rsid w:val="00384457"/>
    <w:rsid w:val="003924FF"/>
    <w:rsid w:val="003977D2"/>
    <w:rsid w:val="003A10E9"/>
    <w:rsid w:val="003C04ED"/>
    <w:rsid w:val="003C41AF"/>
    <w:rsid w:val="003C4535"/>
    <w:rsid w:val="003D0BEE"/>
    <w:rsid w:val="003F33BF"/>
    <w:rsid w:val="003F78DE"/>
    <w:rsid w:val="004168E2"/>
    <w:rsid w:val="004444FA"/>
    <w:rsid w:val="00450836"/>
    <w:rsid w:val="0046138D"/>
    <w:rsid w:val="0046281E"/>
    <w:rsid w:val="00491495"/>
    <w:rsid w:val="004933E3"/>
    <w:rsid w:val="00493CDA"/>
    <w:rsid w:val="004B190D"/>
    <w:rsid w:val="004C409C"/>
    <w:rsid w:val="004E3D21"/>
    <w:rsid w:val="004F6688"/>
    <w:rsid w:val="00503A21"/>
    <w:rsid w:val="0051573A"/>
    <w:rsid w:val="00537F4F"/>
    <w:rsid w:val="00547DBF"/>
    <w:rsid w:val="00554D5D"/>
    <w:rsid w:val="00565249"/>
    <w:rsid w:val="005C0538"/>
    <w:rsid w:val="005C1A8F"/>
    <w:rsid w:val="005E2FBE"/>
    <w:rsid w:val="005E74B1"/>
    <w:rsid w:val="00604345"/>
    <w:rsid w:val="00611028"/>
    <w:rsid w:val="00612B5A"/>
    <w:rsid w:val="00621908"/>
    <w:rsid w:val="006230F5"/>
    <w:rsid w:val="00625E1E"/>
    <w:rsid w:val="006345C3"/>
    <w:rsid w:val="00690E0A"/>
    <w:rsid w:val="00696DCA"/>
    <w:rsid w:val="006A1B83"/>
    <w:rsid w:val="006C689B"/>
    <w:rsid w:val="00714C8C"/>
    <w:rsid w:val="00744FF3"/>
    <w:rsid w:val="007578FF"/>
    <w:rsid w:val="00766EE9"/>
    <w:rsid w:val="00797805"/>
    <w:rsid w:val="007A5D32"/>
    <w:rsid w:val="007B3CA6"/>
    <w:rsid w:val="007E6906"/>
    <w:rsid w:val="008232A2"/>
    <w:rsid w:val="00837563"/>
    <w:rsid w:val="00861112"/>
    <w:rsid w:val="00875597"/>
    <w:rsid w:val="00890417"/>
    <w:rsid w:val="008B0DD1"/>
    <w:rsid w:val="008B4298"/>
    <w:rsid w:val="008C4631"/>
    <w:rsid w:val="008C6D20"/>
    <w:rsid w:val="008D0B8E"/>
    <w:rsid w:val="008D57CB"/>
    <w:rsid w:val="008E3E18"/>
    <w:rsid w:val="008F64C4"/>
    <w:rsid w:val="009308DC"/>
    <w:rsid w:val="0097731A"/>
    <w:rsid w:val="00977B91"/>
    <w:rsid w:val="009A109D"/>
    <w:rsid w:val="009B7E2E"/>
    <w:rsid w:val="009C02A7"/>
    <w:rsid w:val="009D5EE2"/>
    <w:rsid w:val="009E598B"/>
    <w:rsid w:val="009F0E0E"/>
    <w:rsid w:val="00A74996"/>
    <w:rsid w:val="00A776A0"/>
    <w:rsid w:val="00AA6548"/>
    <w:rsid w:val="00AB520F"/>
    <w:rsid w:val="00AE7909"/>
    <w:rsid w:val="00AF7790"/>
    <w:rsid w:val="00B24E63"/>
    <w:rsid w:val="00B27BCE"/>
    <w:rsid w:val="00B40423"/>
    <w:rsid w:val="00B4383A"/>
    <w:rsid w:val="00BA0206"/>
    <w:rsid w:val="00BA5E11"/>
    <w:rsid w:val="00BD2EFC"/>
    <w:rsid w:val="00BE609D"/>
    <w:rsid w:val="00C167BC"/>
    <w:rsid w:val="00C252F1"/>
    <w:rsid w:val="00C641EA"/>
    <w:rsid w:val="00CB11B0"/>
    <w:rsid w:val="00CE0A9F"/>
    <w:rsid w:val="00CE74CE"/>
    <w:rsid w:val="00D5795F"/>
    <w:rsid w:val="00D71398"/>
    <w:rsid w:val="00D75D89"/>
    <w:rsid w:val="00DB3C67"/>
    <w:rsid w:val="00DD048F"/>
    <w:rsid w:val="00E14630"/>
    <w:rsid w:val="00E23C5F"/>
    <w:rsid w:val="00E23DAF"/>
    <w:rsid w:val="00E24176"/>
    <w:rsid w:val="00E401F4"/>
    <w:rsid w:val="00E9225F"/>
    <w:rsid w:val="00F03E0B"/>
    <w:rsid w:val="00F45793"/>
    <w:rsid w:val="00F6527A"/>
    <w:rsid w:val="00F80EB0"/>
    <w:rsid w:val="00F95516"/>
    <w:rsid w:val="00FB4C83"/>
    <w:rsid w:val="00FC1C3D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857E2-5238-4711-B767-3EE0415F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6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E0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E0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9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08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3D3C"/>
    <w:rPr>
      <w:lang w:val="uk-UA"/>
    </w:rPr>
  </w:style>
  <w:style w:type="paragraph" w:styleId="a8">
    <w:name w:val="footer"/>
    <w:basedOn w:val="a"/>
    <w:link w:val="a9"/>
    <w:uiPriority w:val="99"/>
    <w:unhideWhenUsed/>
    <w:rsid w:val="0008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3D3C"/>
    <w:rPr>
      <w:lang w:val="uk-UA"/>
    </w:rPr>
  </w:style>
  <w:style w:type="paragraph" w:customStyle="1" w:styleId="xfmc1">
    <w:name w:val="xfmc1"/>
    <w:basedOn w:val="a"/>
    <w:rsid w:val="000E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C3FA-0AE9-4342-8FEA-03508708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irrina.evtushenko@gmail.com</cp:lastModifiedBy>
  <cp:revision>2</cp:revision>
  <dcterms:created xsi:type="dcterms:W3CDTF">2021-04-12T09:58:00Z</dcterms:created>
  <dcterms:modified xsi:type="dcterms:W3CDTF">2021-04-12T09:58:00Z</dcterms:modified>
</cp:coreProperties>
</file>